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CD" w:rsidRPr="00F806E2" w:rsidRDefault="004755CD">
      <w:pPr>
        <w:rPr>
          <w:b/>
        </w:rPr>
      </w:pPr>
      <w:r w:rsidRPr="00F806E2">
        <w:rPr>
          <w:b/>
        </w:rPr>
        <w:t>Ecclesiastes 1</w:t>
      </w:r>
    </w:p>
    <w:p w:rsidR="00EB44FE" w:rsidRDefault="00D05260" w:rsidP="008C78B7">
      <w:pPr>
        <w:spacing w:line="360" w:lineRule="auto"/>
        <w:contextualSpacing/>
      </w:pPr>
      <w:r>
        <w:t xml:space="preserve">Words of </w:t>
      </w:r>
      <w:proofErr w:type="spellStart"/>
      <w:r>
        <w:t>Qo</w:t>
      </w:r>
      <w:r w:rsidR="008C78B7">
        <w:t>w</w:t>
      </w:r>
      <w:r>
        <w:t>helet</w:t>
      </w:r>
      <w:proofErr w:type="spellEnd"/>
      <w:r w:rsidR="000D1908">
        <w:rPr>
          <w:rStyle w:val="FootnoteReference"/>
        </w:rPr>
        <w:footnoteReference w:id="1"/>
      </w:r>
      <w:r>
        <w:t>, s</w:t>
      </w:r>
      <w:r w:rsidR="008C78B7">
        <w:t>on of David, King in Jerusalem.</w:t>
      </w:r>
      <w:r w:rsidR="000D1908">
        <w:rPr>
          <w:rStyle w:val="FootnoteReference"/>
        </w:rPr>
        <w:footnoteReference w:id="2"/>
      </w:r>
    </w:p>
    <w:p w:rsidR="00D05260" w:rsidRDefault="00D05260" w:rsidP="008C78B7">
      <w:pPr>
        <w:spacing w:line="360" w:lineRule="auto"/>
        <w:contextualSpacing/>
      </w:pPr>
      <w:r w:rsidRPr="004E0DF8">
        <w:rPr>
          <w:u w:val="single"/>
        </w:rPr>
        <w:t>Breath</w:t>
      </w:r>
      <w:r w:rsidR="00FD33DA">
        <w:rPr>
          <w:u w:val="single"/>
        </w:rPr>
        <w:t xml:space="preserve"> of</w:t>
      </w:r>
      <w:r w:rsidRPr="004E0DF8">
        <w:rPr>
          <w:u w:val="single"/>
        </w:rPr>
        <w:t xml:space="preserve"> breath</w:t>
      </w:r>
      <w:r w:rsidR="00FD33DA">
        <w:rPr>
          <w:rStyle w:val="FootnoteReference"/>
          <w:u w:val="single"/>
        </w:rPr>
        <w:footnoteReference w:id="3"/>
      </w:r>
      <w:r>
        <w:t xml:space="preserve">, said </w:t>
      </w:r>
      <w:proofErr w:type="spellStart"/>
      <w:r>
        <w:t>Qoheleth</w:t>
      </w:r>
      <w:proofErr w:type="spellEnd"/>
      <w:r>
        <w:t xml:space="preserve">, </w:t>
      </w:r>
      <w:r w:rsidR="008C78B7" w:rsidRPr="004E0DF8">
        <w:rPr>
          <w:u w:val="single"/>
        </w:rPr>
        <w:t xml:space="preserve">breath of </w:t>
      </w:r>
      <w:r w:rsidRPr="004E0DF8">
        <w:rPr>
          <w:u w:val="single"/>
        </w:rPr>
        <w:t>breath, all is breath</w:t>
      </w:r>
      <w:r>
        <w:t xml:space="preserve">. </w:t>
      </w:r>
    </w:p>
    <w:p w:rsidR="00D05260" w:rsidRDefault="00D05260" w:rsidP="008C78B7">
      <w:pPr>
        <w:spacing w:line="360" w:lineRule="auto"/>
        <w:contextualSpacing/>
      </w:pPr>
      <w:r>
        <w:t xml:space="preserve">What does </w:t>
      </w:r>
      <w:r w:rsidR="004755CD">
        <w:t>Human</w:t>
      </w:r>
      <w:r w:rsidR="000D1908">
        <w:rPr>
          <w:rStyle w:val="FootnoteReference"/>
        </w:rPr>
        <w:footnoteReference w:id="4"/>
      </w:r>
      <w:r>
        <w:t xml:space="preserve"> </w:t>
      </w:r>
      <w:r w:rsidR="00C34150">
        <w:t xml:space="preserve">get </w:t>
      </w:r>
      <w:r>
        <w:t>for all the work he works in the Sun</w:t>
      </w:r>
      <w:r w:rsidR="000D1908">
        <w:rPr>
          <w:rStyle w:val="FootnoteReference"/>
        </w:rPr>
        <w:footnoteReference w:id="5"/>
      </w:r>
      <w:r>
        <w:t>’s land?</w:t>
      </w:r>
    </w:p>
    <w:p w:rsidR="00C34150" w:rsidRDefault="00C34150" w:rsidP="008C78B7">
      <w:pPr>
        <w:spacing w:line="360" w:lineRule="auto"/>
        <w:contextualSpacing/>
      </w:pPr>
      <w:r>
        <w:t xml:space="preserve">An age goes, and an age comes, but the earth stands firm always, </w:t>
      </w:r>
    </w:p>
    <w:p w:rsidR="00C34150" w:rsidRDefault="005071ED" w:rsidP="008C78B7">
      <w:pPr>
        <w:spacing w:line="360" w:lineRule="auto"/>
        <w:contextualSpacing/>
      </w:pPr>
      <w:r>
        <w:t xml:space="preserve">Sun </w:t>
      </w:r>
      <w:r w:rsidR="00C34150">
        <w:t xml:space="preserve">enters, </w:t>
      </w:r>
      <w:r>
        <w:t xml:space="preserve">Sun </w:t>
      </w:r>
      <w:r w:rsidR="00C34150">
        <w:t xml:space="preserve">exits, and </w:t>
      </w:r>
      <w:r w:rsidR="00C34150" w:rsidRPr="004E0DF8">
        <w:rPr>
          <w:u w:val="single"/>
        </w:rPr>
        <w:t xml:space="preserve">pants </w:t>
      </w:r>
      <w:r w:rsidR="00C34150">
        <w:t xml:space="preserve">for his home of sun-rise, </w:t>
      </w:r>
    </w:p>
    <w:p w:rsidR="00C34150" w:rsidRDefault="00C34150" w:rsidP="008C78B7">
      <w:pPr>
        <w:spacing w:line="360" w:lineRule="auto"/>
        <w:contextualSpacing/>
      </w:pPr>
      <w:r w:rsidRPr="004E0DF8">
        <w:rPr>
          <w:u w:val="single"/>
        </w:rPr>
        <w:t>Wind</w:t>
      </w:r>
      <w:r>
        <w:t xml:space="preserve"> walks south, and circles around to the north, </w:t>
      </w:r>
      <w:r w:rsidR="009D6149">
        <w:t xml:space="preserve">it walks and walks, and </w:t>
      </w:r>
      <w:r w:rsidR="009D6149" w:rsidRPr="004E0DF8">
        <w:rPr>
          <w:u w:val="single"/>
        </w:rPr>
        <w:t>win</w:t>
      </w:r>
      <w:r w:rsidR="009D6149">
        <w:t xml:space="preserve">d </w:t>
      </w:r>
      <w:r w:rsidR="005071ED">
        <w:t>whirls</w:t>
      </w:r>
      <w:r w:rsidR="000D1908">
        <w:t xml:space="preserve"> in wheels</w:t>
      </w:r>
      <w:r w:rsidR="008C78B7">
        <w:t>.</w:t>
      </w:r>
      <w:r w:rsidR="000D1908">
        <w:rPr>
          <w:rStyle w:val="FootnoteReference"/>
        </w:rPr>
        <w:footnoteReference w:id="6"/>
      </w:r>
    </w:p>
    <w:p w:rsidR="009D6149" w:rsidRDefault="009D6149" w:rsidP="008C78B7">
      <w:pPr>
        <w:spacing w:line="360" w:lineRule="auto"/>
        <w:contextualSpacing/>
      </w:pPr>
      <w:r>
        <w:t xml:space="preserve">Rivers </w:t>
      </w:r>
      <w:r w:rsidR="004755CD">
        <w:t>pour into</w:t>
      </w:r>
      <w:r>
        <w:t xml:space="preserve"> </w:t>
      </w:r>
      <w:r w:rsidR="000D1908">
        <w:t>Sea</w:t>
      </w:r>
      <w:r w:rsidR="000D1908">
        <w:rPr>
          <w:rStyle w:val="FootnoteReference"/>
        </w:rPr>
        <w:footnoteReference w:id="7"/>
      </w:r>
      <w:r w:rsidR="000D1908">
        <w:t xml:space="preserve">, </w:t>
      </w:r>
      <w:r>
        <w:t xml:space="preserve">yet Sea is not </w:t>
      </w:r>
      <w:r w:rsidRPr="00035A3C">
        <w:rPr>
          <w:u w:val="single"/>
        </w:rPr>
        <w:t>slaked</w:t>
      </w:r>
      <w:r>
        <w:t xml:space="preserve">. To home where the torrent-rivers come from, they </w:t>
      </w:r>
      <w:r w:rsidR="004755CD">
        <w:t>flow</w:t>
      </w:r>
      <w:r>
        <w:t xml:space="preserve"> again. </w:t>
      </w:r>
    </w:p>
    <w:p w:rsidR="009D6149" w:rsidRDefault="009D6149" w:rsidP="008C78B7">
      <w:pPr>
        <w:spacing w:line="360" w:lineRule="auto"/>
        <w:contextualSpacing/>
      </w:pPr>
      <w:r>
        <w:t xml:space="preserve">Words are weary; Human cannot say them; Eye is not </w:t>
      </w:r>
      <w:r w:rsidRPr="0043491F">
        <w:rPr>
          <w:u w:val="single"/>
        </w:rPr>
        <w:t>slaked</w:t>
      </w:r>
      <w:r>
        <w:t xml:space="preserve"> with seeing, Ear not </w:t>
      </w:r>
      <w:r w:rsidRPr="0043491F">
        <w:rPr>
          <w:u w:val="single"/>
        </w:rPr>
        <w:t xml:space="preserve">full </w:t>
      </w:r>
      <w:r>
        <w:t xml:space="preserve">with listening. </w:t>
      </w:r>
    </w:p>
    <w:p w:rsidR="009D6149" w:rsidRDefault="004755CD" w:rsidP="008C78B7">
      <w:pPr>
        <w:spacing w:line="360" w:lineRule="auto"/>
        <w:contextualSpacing/>
      </w:pPr>
      <w:r>
        <w:t xml:space="preserve">You can’t say, look, this is new. It has already happened. No remembering of the first things or the last things, no remembering by those in the time to come. </w:t>
      </w:r>
    </w:p>
    <w:p w:rsidR="009D6149" w:rsidRDefault="009D6149" w:rsidP="008C78B7">
      <w:pPr>
        <w:spacing w:line="360" w:lineRule="auto"/>
        <w:contextualSpacing/>
      </w:pPr>
      <w:r>
        <w:t>I have seen the work worked in the Sun’</w:t>
      </w:r>
      <w:r w:rsidR="00CB5031">
        <w:t>s land. Look, a</w:t>
      </w:r>
      <w:r>
        <w:t xml:space="preserve">ll is </w:t>
      </w:r>
      <w:r w:rsidRPr="004E0DF8">
        <w:rPr>
          <w:u w:val="single"/>
        </w:rPr>
        <w:t xml:space="preserve">breath and </w:t>
      </w:r>
      <w:r w:rsidR="00CB5031" w:rsidRPr="004E0DF8">
        <w:rPr>
          <w:u w:val="single"/>
        </w:rPr>
        <w:t>longing for wind</w:t>
      </w:r>
      <w:r w:rsidR="008C78B7">
        <w:t>;</w:t>
      </w:r>
      <w:r w:rsidR="000D1908">
        <w:rPr>
          <w:rStyle w:val="FootnoteReference"/>
        </w:rPr>
        <w:footnoteReference w:id="8"/>
      </w:r>
      <w:r w:rsidR="00CB5031">
        <w:t xml:space="preserve"> </w:t>
      </w:r>
    </w:p>
    <w:p w:rsidR="00CB5031" w:rsidRDefault="00CB5031" w:rsidP="008C78B7">
      <w:pPr>
        <w:spacing w:line="360" w:lineRule="auto"/>
        <w:contextualSpacing/>
      </w:pPr>
      <w:r>
        <w:t>The crooked can’t be straight, and Not cannot be numbered</w:t>
      </w:r>
      <w:r w:rsidR="008C78B7">
        <w:t>.</w:t>
      </w:r>
    </w:p>
    <w:p w:rsidR="005071ED" w:rsidRDefault="005071ED" w:rsidP="008C78B7">
      <w:pPr>
        <w:spacing w:line="360" w:lineRule="auto"/>
        <w:contextualSpacing/>
      </w:pPr>
      <w:r>
        <w:t xml:space="preserve">I said, Heart, I’m rich, I am wiser than anyone </w:t>
      </w:r>
      <w:r w:rsidR="004755CD">
        <w:t>ever</w:t>
      </w:r>
      <w:r>
        <w:t xml:space="preserve">, and Heart saw all the wisdom and knowing. </w:t>
      </w:r>
    </w:p>
    <w:p w:rsidR="00FD33DA" w:rsidRDefault="00CB5031" w:rsidP="008C78B7">
      <w:pPr>
        <w:spacing w:line="360" w:lineRule="auto"/>
        <w:contextualSpacing/>
      </w:pPr>
      <w:r>
        <w:t xml:space="preserve">I devoted </w:t>
      </w:r>
      <w:r w:rsidR="00FD33DA">
        <w:t>Heart</w:t>
      </w:r>
      <w:r w:rsidR="005B1048">
        <w:rPr>
          <w:rStyle w:val="FootnoteReference"/>
        </w:rPr>
        <w:footnoteReference w:id="9"/>
      </w:r>
      <w:r>
        <w:t xml:space="preserve"> to know wisdom and to know </w:t>
      </w:r>
      <w:proofErr w:type="spellStart"/>
      <w:r w:rsidR="005071ED">
        <w:t>Yeehaw</w:t>
      </w:r>
      <w:proofErr w:type="spellEnd"/>
      <w:r w:rsidR="000D1908">
        <w:rPr>
          <w:rStyle w:val="FootnoteReference"/>
        </w:rPr>
        <w:footnoteReference w:id="10"/>
      </w:r>
      <w:r w:rsidR="005071ED">
        <w:t xml:space="preserve"> </w:t>
      </w:r>
      <w:r>
        <w:t>a</w:t>
      </w:r>
      <w:r w:rsidR="00FD33DA">
        <w:t>nd folly</w:t>
      </w:r>
    </w:p>
    <w:p w:rsidR="00CB5031" w:rsidRDefault="005071ED" w:rsidP="00FD33DA">
      <w:pPr>
        <w:spacing w:line="360" w:lineRule="auto"/>
        <w:ind w:firstLine="720"/>
        <w:contextualSpacing/>
      </w:pPr>
      <w:r>
        <w:t xml:space="preserve">and know even that was </w:t>
      </w:r>
      <w:r w:rsidRPr="004E0DF8">
        <w:rPr>
          <w:u w:val="single"/>
        </w:rPr>
        <w:t>longing for wind</w:t>
      </w:r>
      <w:r>
        <w:t xml:space="preserve">, </w:t>
      </w:r>
    </w:p>
    <w:p w:rsidR="00CB5031" w:rsidRDefault="005071ED" w:rsidP="008C78B7">
      <w:pPr>
        <w:pBdr>
          <w:bottom w:val="single" w:sz="12" w:space="1" w:color="auto"/>
        </w:pBdr>
        <w:spacing w:line="360" w:lineRule="auto"/>
        <w:contextualSpacing/>
      </w:pPr>
      <w:r>
        <w:t xml:space="preserve">For wisdom is grieving. More knowing is pain. </w:t>
      </w:r>
      <w:r w:rsidR="004755CD">
        <w:br/>
      </w:r>
    </w:p>
    <w:p w:rsidR="004755CD" w:rsidRDefault="004755CD" w:rsidP="009D6149"/>
    <w:p w:rsidR="002D0AE6" w:rsidRDefault="002D0AE6">
      <w:r>
        <w:br w:type="page"/>
      </w:r>
    </w:p>
    <w:p w:rsidR="00CB5031" w:rsidRPr="00F806E2" w:rsidRDefault="002D0AE6" w:rsidP="009D6149">
      <w:pPr>
        <w:rPr>
          <w:b/>
        </w:rPr>
      </w:pPr>
      <w:r w:rsidRPr="00F806E2">
        <w:rPr>
          <w:b/>
        </w:rPr>
        <w:lastRenderedPageBreak/>
        <w:t>Eccle</w:t>
      </w:r>
      <w:r w:rsidR="00D1581C">
        <w:rPr>
          <w:b/>
        </w:rPr>
        <w:t>siastes 11:7-end</w:t>
      </w:r>
    </w:p>
    <w:p w:rsidR="00F71AE0" w:rsidRDefault="00593940" w:rsidP="008C78B7">
      <w:pPr>
        <w:spacing w:line="240" w:lineRule="auto"/>
        <w:contextualSpacing/>
      </w:pPr>
      <w:r>
        <w:t xml:space="preserve">And is sweet the </w:t>
      </w:r>
      <w:r w:rsidR="00B87302">
        <w:t xml:space="preserve">Light and good </w:t>
      </w:r>
      <w:r w:rsidR="00F71AE0">
        <w:t>for eyes to see the Sun</w:t>
      </w:r>
      <w:r w:rsidR="00F71AE0">
        <w:rPr>
          <w:rStyle w:val="FootnoteReference"/>
        </w:rPr>
        <w:footnoteReference w:id="11"/>
      </w:r>
      <w:r w:rsidR="00F71AE0">
        <w:t xml:space="preserve">. </w:t>
      </w:r>
    </w:p>
    <w:p w:rsidR="00F806E2" w:rsidRDefault="00B87302" w:rsidP="008C78B7">
      <w:pPr>
        <w:spacing w:line="240" w:lineRule="auto"/>
        <w:contextualSpacing/>
      </w:pPr>
      <w:r>
        <w:t>But i</w:t>
      </w:r>
      <w:r w:rsidR="00F71AE0">
        <w:t xml:space="preserve">f </w:t>
      </w:r>
      <w:r>
        <w:t xml:space="preserve">many years lives </w:t>
      </w:r>
      <w:r w:rsidR="00F71AE0">
        <w:t xml:space="preserve">Human </w:t>
      </w:r>
      <w:r>
        <w:t xml:space="preserve">and in them all </w:t>
      </w:r>
      <w:r w:rsidR="00D1581C">
        <w:t xml:space="preserve">he </w:t>
      </w:r>
      <w:r>
        <w:t>rejoice</w:t>
      </w:r>
      <w:r w:rsidR="00D1581C">
        <w:t>s</w:t>
      </w:r>
      <w:r>
        <w:t>, remember let him t</w:t>
      </w:r>
      <w:r w:rsidR="00F71AE0">
        <w:t xml:space="preserve">he </w:t>
      </w:r>
      <w:r w:rsidR="000838DD">
        <w:t xml:space="preserve">days </w:t>
      </w:r>
      <w:r w:rsidR="00F71AE0">
        <w:t>of darkness</w:t>
      </w:r>
      <w:r w:rsidR="000838DD">
        <w:t xml:space="preserve">, </w:t>
      </w:r>
    </w:p>
    <w:p w:rsidR="00F806E2" w:rsidRDefault="00F806E2" w:rsidP="00F806E2">
      <w:pPr>
        <w:spacing w:line="240" w:lineRule="auto"/>
        <w:ind w:firstLine="720"/>
        <w:contextualSpacing/>
      </w:pPr>
      <w:r>
        <w:t>F</w:t>
      </w:r>
      <w:r w:rsidR="000838DD">
        <w:t xml:space="preserve">or </w:t>
      </w:r>
      <w:r w:rsidR="00B87302">
        <w:t>many they will be</w:t>
      </w:r>
      <w:r w:rsidR="000838DD">
        <w:t xml:space="preserve">. </w:t>
      </w:r>
    </w:p>
    <w:p w:rsidR="00F71AE0" w:rsidRDefault="000838DD" w:rsidP="00F806E2">
      <w:pPr>
        <w:spacing w:line="240" w:lineRule="auto"/>
        <w:ind w:left="720" w:firstLine="720"/>
        <w:contextualSpacing/>
      </w:pPr>
      <w:r w:rsidRPr="00F806E2">
        <w:t>The future is only</w:t>
      </w:r>
      <w:r w:rsidRPr="004E0DF8">
        <w:rPr>
          <w:u w:val="single"/>
        </w:rPr>
        <w:t xml:space="preserve"> breath</w:t>
      </w:r>
      <w:r>
        <w:t xml:space="preserve">. </w:t>
      </w:r>
    </w:p>
    <w:p w:rsidR="000838DD" w:rsidRDefault="000838DD" w:rsidP="008C78B7">
      <w:pPr>
        <w:spacing w:line="240" w:lineRule="auto"/>
        <w:contextualSpacing/>
      </w:pPr>
      <w:r>
        <w:t xml:space="preserve">Be happy, young man, </w:t>
      </w:r>
      <w:r w:rsidR="00B87302">
        <w:t>in the days of childhood</w:t>
      </w:r>
      <w:r>
        <w:t xml:space="preserve">, </w:t>
      </w:r>
      <w:r w:rsidR="00B87302">
        <w:t xml:space="preserve">and let cheer you your heart in the days of your prime, </w:t>
      </w:r>
    </w:p>
    <w:p w:rsidR="00B87302" w:rsidRDefault="00B87302" w:rsidP="008C78B7">
      <w:pPr>
        <w:spacing w:line="240" w:lineRule="auto"/>
        <w:contextualSpacing/>
      </w:pPr>
      <w:r>
        <w:t xml:space="preserve">And walk in the ways of your heart and in the sight of your eyes. </w:t>
      </w:r>
    </w:p>
    <w:p w:rsidR="00B87302" w:rsidRDefault="00B87302" w:rsidP="008C78B7">
      <w:pPr>
        <w:spacing w:line="240" w:lineRule="auto"/>
        <w:contextualSpacing/>
      </w:pPr>
      <w:r>
        <w:t>But</w:t>
      </w:r>
      <w:r w:rsidR="00D1581C">
        <w:t xml:space="preserve"> know, despite everything, </w:t>
      </w:r>
      <w:r>
        <w:t xml:space="preserve">bring you </w:t>
      </w:r>
      <w:r w:rsidR="00D1581C">
        <w:t xml:space="preserve">will </w:t>
      </w:r>
      <w:r>
        <w:t>God into judgement</w:t>
      </w:r>
      <w:r>
        <w:rPr>
          <w:rStyle w:val="FootnoteReference"/>
        </w:rPr>
        <w:footnoteReference w:id="12"/>
      </w:r>
    </w:p>
    <w:p w:rsidR="00F806E2" w:rsidRDefault="003030F4" w:rsidP="008C78B7">
      <w:pPr>
        <w:spacing w:line="240" w:lineRule="auto"/>
        <w:contextualSpacing/>
      </w:pPr>
      <w:r>
        <w:t>Therefore</w:t>
      </w:r>
      <w:r w:rsidR="00FD33DA">
        <w:t>,</w:t>
      </w:r>
      <w:r>
        <w:t xml:space="preserve"> turn aside grief from your heart and wild</w:t>
      </w:r>
      <w:r>
        <w:rPr>
          <w:rStyle w:val="FootnoteReference"/>
        </w:rPr>
        <w:footnoteReference w:id="13"/>
      </w:r>
      <w:r>
        <w:t xml:space="preserve"> from your body,</w:t>
      </w:r>
      <w:r w:rsidR="00F806E2">
        <w:t xml:space="preserve"> </w:t>
      </w:r>
    </w:p>
    <w:p w:rsidR="008C78B7" w:rsidRDefault="00F806E2" w:rsidP="00A21733">
      <w:pPr>
        <w:spacing w:line="240" w:lineRule="auto"/>
        <w:ind w:firstLine="720"/>
        <w:contextualSpacing/>
      </w:pPr>
      <w:r>
        <w:t>f</w:t>
      </w:r>
      <w:r w:rsidR="003030F4">
        <w:t xml:space="preserve">or </w:t>
      </w:r>
      <w:r w:rsidR="003030F4" w:rsidRPr="00F806E2">
        <w:t>childhood and prime are</w:t>
      </w:r>
      <w:r w:rsidR="003030F4" w:rsidRPr="004E0DF8">
        <w:rPr>
          <w:u w:val="single"/>
        </w:rPr>
        <w:t xml:space="preserve"> breath</w:t>
      </w:r>
      <w:r w:rsidR="003030F4">
        <w:t xml:space="preserve">.  </w:t>
      </w:r>
      <w:bookmarkStart w:id="0" w:name="_GoBack"/>
      <w:bookmarkEnd w:id="0"/>
    </w:p>
    <w:p w:rsidR="003030F4" w:rsidRDefault="003030F4" w:rsidP="008C78B7">
      <w:pPr>
        <w:spacing w:line="240" w:lineRule="auto"/>
        <w:contextualSpacing/>
      </w:pPr>
      <w:r>
        <w:t>12</w:t>
      </w:r>
    </w:p>
    <w:p w:rsidR="004E0DF8" w:rsidRDefault="003030F4" w:rsidP="008C78B7">
      <w:pPr>
        <w:spacing w:line="240" w:lineRule="auto"/>
        <w:contextualSpacing/>
      </w:pPr>
      <w:r>
        <w:t xml:space="preserve">Remember your maker in the days of your prime before will come days evil </w:t>
      </w:r>
    </w:p>
    <w:p w:rsidR="00C272D3" w:rsidRDefault="004E0DF8" w:rsidP="008C78B7">
      <w:pPr>
        <w:spacing w:line="240" w:lineRule="auto"/>
        <w:contextualSpacing/>
      </w:pPr>
      <w:r>
        <w:t>A</w:t>
      </w:r>
      <w:r w:rsidR="00111443">
        <w:t xml:space="preserve">nd draw near </w:t>
      </w:r>
      <w:r w:rsidR="003030F4">
        <w:t>years when you say</w:t>
      </w:r>
      <w:r>
        <w:t>,</w:t>
      </w:r>
      <w:r w:rsidR="003030F4">
        <w:t xml:space="preserve"> </w:t>
      </w:r>
      <w:r>
        <w:t>“</w:t>
      </w:r>
      <w:r w:rsidR="003030F4">
        <w:t>I have no joy in them.</w:t>
      </w:r>
      <w:r>
        <w:t>”</w:t>
      </w:r>
      <w:r w:rsidR="003030F4">
        <w:t xml:space="preserve"> </w:t>
      </w:r>
    </w:p>
    <w:p w:rsidR="00C272D3" w:rsidRDefault="00C272D3" w:rsidP="008C78B7">
      <w:pPr>
        <w:spacing w:line="240" w:lineRule="auto"/>
        <w:contextualSpacing/>
      </w:pPr>
      <w:r>
        <w:t>When even are darkened Sunlight and Moonlight and S</w:t>
      </w:r>
      <w:r w:rsidR="008C78B7">
        <w:t xml:space="preserve">tarlight and do not come again, after the clouds and </w:t>
      </w:r>
      <w:r>
        <w:t>rain</w:t>
      </w:r>
    </w:p>
    <w:p w:rsidR="004E0DF8" w:rsidRDefault="00C272D3" w:rsidP="008C78B7">
      <w:pPr>
        <w:spacing w:line="240" w:lineRule="auto"/>
        <w:contextualSpacing/>
      </w:pPr>
      <w:r>
        <w:t xml:space="preserve">In the day when tremble the </w:t>
      </w:r>
      <w:r w:rsidR="00111443">
        <w:t>guards</w:t>
      </w:r>
      <w:r>
        <w:t xml:space="preserve"> of the house and </w:t>
      </w:r>
      <w:r w:rsidR="004E0DF8">
        <w:t xml:space="preserve">stoop the </w:t>
      </w:r>
      <w:r>
        <w:t xml:space="preserve">men of valor </w:t>
      </w:r>
    </w:p>
    <w:p w:rsidR="004E0DF8" w:rsidRDefault="004E0DF8" w:rsidP="008C78B7">
      <w:pPr>
        <w:spacing w:line="240" w:lineRule="auto"/>
        <w:contextualSpacing/>
      </w:pPr>
      <w:r>
        <w:t>An</w:t>
      </w:r>
      <w:r w:rsidR="00C272D3">
        <w:t>d when grinders</w:t>
      </w:r>
      <w:r w:rsidR="00C272D3">
        <w:rPr>
          <w:rStyle w:val="FootnoteReference"/>
        </w:rPr>
        <w:footnoteReference w:id="14"/>
      </w:r>
      <w:r w:rsidR="009B5C3F">
        <w:t xml:space="preserve"> stop because they are few</w:t>
      </w:r>
      <w:r w:rsidR="009B5C3F">
        <w:rPr>
          <w:rStyle w:val="FootnoteReference"/>
        </w:rPr>
        <w:footnoteReference w:id="15"/>
      </w:r>
      <w:r w:rsidR="009B5C3F">
        <w:t xml:space="preserve"> </w:t>
      </w:r>
    </w:p>
    <w:p w:rsidR="004E0DF8" w:rsidRDefault="009B5C3F" w:rsidP="004E0DF8">
      <w:pPr>
        <w:spacing w:line="240" w:lineRule="auto"/>
        <w:ind w:firstLine="720"/>
        <w:contextualSpacing/>
      </w:pPr>
      <w:r>
        <w:t>and grow dim those that look through the windows</w:t>
      </w:r>
      <w:r>
        <w:rPr>
          <w:rStyle w:val="FootnoteReference"/>
        </w:rPr>
        <w:footnoteReference w:id="16"/>
      </w:r>
      <w:r>
        <w:t xml:space="preserve"> </w:t>
      </w:r>
    </w:p>
    <w:p w:rsidR="009B5C3F" w:rsidRDefault="009B5C3F" w:rsidP="004E0DF8">
      <w:pPr>
        <w:spacing w:line="240" w:lineRule="auto"/>
        <w:ind w:left="720" w:firstLine="720"/>
        <w:contextualSpacing/>
      </w:pPr>
      <w:r>
        <w:t>and when shut are doors in the streets</w:t>
      </w:r>
    </w:p>
    <w:p w:rsidR="009B5C3F" w:rsidRDefault="009B5C3F" w:rsidP="008C78B7">
      <w:pPr>
        <w:spacing w:line="240" w:lineRule="auto"/>
        <w:contextualSpacing/>
      </w:pPr>
      <w:r>
        <w:t>And is low the sound of grinding</w:t>
      </w:r>
    </w:p>
    <w:p w:rsidR="009B5C3F" w:rsidRDefault="009B5C3F" w:rsidP="008C78B7">
      <w:pPr>
        <w:spacing w:line="240" w:lineRule="auto"/>
        <w:contextualSpacing/>
      </w:pPr>
      <w:r>
        <w:t>And rises the song</w:t>
      </w:r>
      <w:r w:rsidR="004E0DF8">
        <w:t xml:space="preserve"> of a</w:t>
      </w:r>
      <w:r>
        <w:t xml:space="preserve"> bird and falls the daughters of song</w:t>
      </w:r>
      <w:r w:rsidR="004E0DF8">
        <w:rPr>
          <w:rStyle w:val="FootnoteReference"/>
        </w:rPr>
        <w:footnoteReference w:id="17"/>
      </w:r>
    </w:p>
    <w:p w:rsidR="009B5C3F" w:rsidRDefault="009B5C3F" w:rsidP="008C78B7">
      <w:pPr>
        <w:spacing w:line="240" w:lineRule="auto"/>
        <w:contextualSpacing/>
      </w:pPr>
      <w:r>
        <w:t>And of height they are afraid and of terrors in the road</w:t>
      </w:r>
    </w:p>
    <w:p w:rsidR="00F806E2" w:rsidRDefault="00B90FEA" w:rsidP="008C78B7">
      <w:pPr>
        <w:spacing w:line="240" w:lineRule="auto"/>
        <w:contextualSpacing/>
      </w:pPr>
      <w:r>
        <w:t xml:space="preserve">And when </w:t>
      </w:r>
      <w:r w:rsidR="00F806E2">
        <w:t xml:space="preserve">almond </w:t>
      </w:r>
      <w:r>
        <w:t>blo</w:t>
      </w:r>
      <w:r w:rsidR="00F806E2">
        <w:t xml:space="preserve">ssoms </w:t>
      </w:r>
      <w:r w:rsidR="009B5C3F">
        <w:t xml:space="preserve"> </w:t>
      </w:r>
    </w:p>
    <w:p w:rsidR="00F806E2" w:rsidRDefault="009B5C3F" w:rsidP="00F806E2">
      <w:pPr>
        <w:spacing w:line="240" w:lineRule="auto"/>
        <w:ind w:firstLine="720"/>
        <w:contextualSpacing/>
      </w:pPr>
      <w:r>
        <w:t xml:space="preserve">and </w:t>
      </w:r>
      <w:r w:rsidR="004E0DF8">
        <w:t>t</w:t>
      </w:r>
      <w:r w:rsidR="00B90FEA">
        <w:t>he locust</w:t>
      </w:r>
      <w:r w:rsidR="004E0DF8">
        <w:t xml:space="preserve"> heavy</w:t>
      </w:r>
      <w:r w:rsidR="00B90FEA">
        <w:rPr>
          <w:rStyle w:val="FootnoteReference"/>
        </w:rPr>
        <w:footnoteReference w:id="18"/>
      </w:r>
      <w:r w:rsidR="00B90FEA">
        <w:t xml:space="preserve"> </w:t>
      </w:r>
    </w:p>
    <w:p w:rsidR="009B5C3F" w:rsidRDefault="00B90FEA" w:rsidP="00F806E2">
      <w:pPr>
        <w:spacing w:line="240" w:lineRule="auto"/>
        <w:ind w:left="720" w:firstLine="720"/>
        <w:contextualSpacing/>
      </w:pPr>
      <w:r>
        <w:t>and when desire fails</w:t>
      </w:r>
      <w:r>
        <w:rPr>
          <w:rStyle w:val="FootnoteReference"/>
        </w:rPr>
        <w:footnoteReference w:id="19"/>
      </w:r>
    </w:p>
    <w:p w:rsidR="002D0AE6" w:rsidRDefault="00B90FEA" w:rsidP="00F806E2">
      <w:pPr>
        <w:spacing w:line="240" w:lineRule="auto"/>
        <w:contextualSpacing/>
      </w:pPr>
      <w:r>
        <w:t xml:space="preserve">For goes </w:t>
      </w:r>
      <w:r w:rsidR="008C78B7">
        <w:t>Human</w:t>
      </w:r>
      <w:r>
        <w:t xml:space="preserve"> to his fo</w:t>
      </w:r>
      <w:r w:rsidR="0043491F">
        <w:t xml:space="preserve">rever-house, </w:t>
      </w:r>
      <w:r>
        <w:t xml:space="preserve">and </w:t>
      </w:r>
      <w:r w:rsidR="009575F6">
        <w:t>whirl in the markets</w:t>
      </w:r>
      <w:r>
        <w:t xml:space="preserve"> the mourners</w:t>
      </w:r>
    </w:p>
    <w:p w:rsidR="00B90FEA" w:rsidRDefault="009575F6" w:rsidP="008C78B7">
      <w:pPr>
        <w:spacing w:line="240" w:lineRule="auto"/>
        <w:contextualSpacing/>
      </w:pPr>
      <w:r>
        <w:t>B</w:t>
      </w:r>
      <w:r w:rsidR="00B90FEA">
        <w:t xml:space="preserve">efore is </w:t>
      </w:r>
      <w:r>
        <w:t xml:space="preserve">cut </w:t>
      </w:r>
      <w:r w:rsidR="00B90FEA">
        <w:t>the silver cord</w:t>
      </w:r>
    </w:p>
    <w:p w:rsidR="00B90FEA" w:rsidRDefault="00B90FEA" w:rsidP="008C78B7">
      <w:pPr>
        <w:spacing w:line="240" w:lineRule="auto"/>
        <w:contextualSpacing/>
      </w:pPr>
      <w:r>
        <w:t>Or broken the golden bowl</w:t>
      </w:r>
      <w:r>
        <w:rPr>
          <w:rStyle w:val="FootnoteReference"/>
        </w:rPr>
        <w:footnoteReference w:id="20"/>
      </w:r>
    </w:p>
    <w:p w:rsidR="00B90FEA" w:rsidRDefault="00B90FEA" w:rsidP="008C78B7">
      <w:pPr>
        <w:spacing w:line="240" w:lineRule="auto"/>
        <w:contextualSpacing/>
      </w:pPr>
      <w:r>
        <w:t>Or shatt</w:t>
      </w:r>
      <w:r w:rsidR="009575F6">
        <w:t>ered the pitcher at the well</w:t>
      </w:r>
      <w:r w:rsidR="009575F6">
        <w:rPr>
          <w:rStyle w:val="FootnoteReference"/>
        </w:rPr>
        <w:footnoteReference w:id="21"/>
      </w:r>
    </w:p>
    <w:p w:rsidR="00B90FEA" w:rsidRDefault="00B90FEA" w:rsidP="008C78B7">
      <w:pPr>
        <w:spacing w:line="240" w:lineRule="auto"/>
        <w:contextualSpacing/>
      </w:pPr>
      <w:r>
        <w:t xml:space="preserve">Or </w:t>
      </w:r>
      <w:r w:rsidR="009575F6">
        <w:t xml:space="preserve">smashed the wheel </w:t>
      </w:r>
      <w:r>
        <w:t xml:space="preserve">at the </w:t>
      </w:r>
      <w:r w:rsidR="009575F6">
        <w:t>pit</w:t>
      </w:r>
    </w:p>
    <w:p w:rsidR="00B90FEA" w:rsidRDefault="00121294" w:rsidP="008C78B7">
      <w:pPr>
        <w:spacing w:line="240" w:lineRule="auto"/>
        <w:contextualSpacing/>
      </w:pPr>
      <w:r>
        <w:t xml:space="preserve">Before </w:t>
      </w:r>
      <w:r w:rsidR="00B90FEA">
        <w:t>will go back to dust the earth as it was</w:t>
      </w:r>
    </w:p>
    <w:p w:rsidR="00B90FEA" w:rsidRDefault="00B90FEA" w:rsidP="008C78B7">
      <w:pPr>
        <w:spacing w:line="240" w:lineRule="auto"/>
        <w:contextualSpacing/>
      </w:pPr>
      <w:r>
        <w:t xml:space="preserve">And the </w:t>
      </w:r>
      <w:r w:rsidRPr="00111443">
        <w:rPr>
          <w:u w:val="single"/>
        </w:rPr>
        <w:t>life-wind</w:t>
      </w:r>
      <w:r w:rsidR="00F806E2">
        <w:t xml:space="preserve"> return to T</w:t>
      </w:r>
      <w:r w:rsidR="008C78B7">
        <w:t>he God</w:t>
      </w:r>
      <w:r w:rsidR="008C78B7">
        <w:rPr>
          <w:rStyle w:val="FootnoteReference"/>
        </w:rPr>
        <w:footnoteReference w:id="22"/>
      </w:r>
      <w:r w:rsidR="008C78B7">
        <w:t xml:space="preserve"> who gave it</w:t>
      </w:r>
    </w:p>
    <w:p w:rsidR="009B5C3F" w:rsidRDefault="008C78B7" w:rsidP="008C78B7">
      <w:pPr>
        <w:spacing w:line="240" w:lineRule="auto"/>
        <w:contextualSpacing/>
      </w:pPr>
      <w:r w:rsidRPr="004E0DF8">
        <w:rPr>
          <w:u w:val="single"/>
        </w:rPr>
        <w:t xml:space="preserve">Breath of Breath, </w:t>
      </w:r>
      <w:r w:rsidRPr="00F806E2">
        <w:t>say</w:t>
      </w:r>
      <w:r w:rsidR="00F806E2" w:rsidRPr="00F806E2">
        <w:t>s</w:t>
      </w:r>
      <w:r w:rsidRPr="00F806E2">
        <w:t xml:space="preserve"> </w:t>
      </w:r>
      <w:proofErr w:type="spellStart"/>
      <w:r w:rsidRPr="00F806E2">
        <w:t>Qowhelet</w:t>
      </w:r>
      <w:proofErr w:type="spellEnd"/>
      <w:r w:rsidRPr="004E0DF8">
        <w:rPr>
          <w:u w:val="single"/>
        </w:rPr>
        <w:t>, all is breath</w:t>
      </w:r>
      <w:r>
        <w:t xml:space="preserve">. </w:t>
      </w:r>
      <w:r w:rsidR="009B5C3F">
        <w:br w:type="page"/>
      </w:r>
    </w:p>
    <w:p w:rsidR="009B5C3F" w:rsidRPr="0043491F" w:rsidRDefault="009B5C3F">
      <w:pPr>
        <w:rPr>
          <w:b/>
        </w:rPr>
      </w:pPr>
    </w:p>
    <w:p w:rsidR="002D0AE6" w:rsidRPr="0043491F" w:rsidRDefault="002D0AE6" w:rsidP="009D6149">
      <w:pPr>
        <w:rPr>
          <w:b/>
        </w:rPr>
      </w:pPr>
      <w:r w:rsidRPr="0043491F">
        <w:rPr>
          <w:b/>
        </w:rPr>
        <w:t>Motifs</w:t>
      </w:r>
    </w:p>
    <w:p w:rsidR="002D0AE6" w:rsidRDefault="002D0AE6" w:rsidP="009D6149">
      <w:r>
        <w:t>Circling</w:t>
      </w:r>
    </w:p>
    <w:p w:rsidR="002D0AE6" w:rsidRDefault="002D0AE6" w:rsidP="009D6149">
      <w:r>
        <w:t>Death in the context of the age of the earth</w:t>
      </w:r>
    </w:p>
    <w:p w:rsidR="002D0AE6" w:rsidRDefault="002D0AE6" w:rsidP="009D6149">
      <w:proofErr w:type="spellStart"/>
      <w:r>
        <w:t>Sheol</w:t>
      </w:r>
      <w:proofErr w:type="spellEnd"/>
    </w:p>
    <w:p w:rsidR="002D0AE6" w:rsidRDefault="002D0AE6" w:rsidP="009D6149">
      <w:proofErr w:type="spellStart"/>
      <w:r>
        <w:t>Bor</w:t>
      </w:r>
      <w:proofErr w:type="spellEnd"/>
      <w:r>
        <w:t>/Beer [Pit/ Well]</w:t>
      </w:r>
    </w:p>
    <w:p w:rsidR="002D0AE6" w:rsidRDefault="002D0AE6" w:rsidP="009D6149">
      <w:r>
        <w:t>Darkness</w:t>
      </w:r>
    </w:p>
    <w:p w:rsidR="002D0AE6" w:rsidRDefault="002D0AE6" w:rsidP="009D6149">
      <w:r>
        <w:t>Youth to Age</w:t>
      </w:r>
    </w:p>
    <w:p w:rsidR="0043491F" w:rsidRDefault="0043491F" w:rsidP="009D6149">
      <w:r>
        <w:t>Breathing, gasping, panting (and connection to the soul or spirit or “life-breath”</w:t>
      </w:r>
    </w:p>
    <w:p w:rsidR="0043491F" w:rsidRDefault="0043491F" w:rsidP="009D6149">
      <w:r>
        <w:t>Thirst and “</w:t>
      </w:r>
      <w:proofErr w:type="spellStart"/>
      <w:r>
        <w:t>unfilling</w:t>
      </w:r>
      <w:proofErr w:type="spellEnd"/>
      <w:r>
        <w:t xml:space="preserve">” </w:t>
      </w:r>
    </w:p>
    <w:p w:rsidR="002D0AE6" w:rsidRDefault="002D0AE6" w:rsidP="009D6149"/>
    <w:p w:rsidR="00C34150" w:rsidRDefault="00C34150"/>
    <w:p w:rsidR="00C34150" w:rsidRDefault="00C34150"/>
    <w:p w:rsidR="00C34150" w:rsidRDefault="00C34150"/>
    <w:sectPr w:rsidR="00C34150" w:rsidSect="00F806E2">
      <w:pgSz w:w="12240" w:h="15840"/>
      <w:pgMar w:top="720" w:right="1170" w:bottom="81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144" w:rsidRDefault="00F87144" w:rsidP="000D1908">
      <w:pPr>
        <w:spacing w:after="0" w:line="240" w:lineRule="auto"/>
      </w:pPr>
      <w:r>
        <w:separator/>
      </w:r>
    </w:p>
  </w:endnote>
  <w:endnote w:type="continuationSeparator" w:id="0">
    <w:p w:rsidR="00F87144" w:rsidRDefault="00F87144" w:rsidP="000D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144" w:rsidRDefault="00F87144" w:rsidP="000D1908">
      <w:pPr>
        <w:spacing w:after="0" w:line="240" w:lineRule="auto"/>
      </w:pPr>
      <w:r>
        <w:separator/>
      </w:r>
    </w:p>
  </w:footnote>
  <w:footnote w:type="continuationSeparator" w:id="0">
    <w:p w:rsidR="00F87144" w:rsidRDefault="00F87144" w:rsidP="000D1908">
      <w:pPr>
        <w:spacing w:after="0" w:line="240" w:lineRule="auto"/>
      </w:pPr>
      <w:r>
        <w:continuationSeparator/>
      </w:r>
    </w:p>
  </w:footnote>
  <w:footnote w:id="1">
    <w:p w:rsidR="000D1908" w:rsidRDefault="000D1908">
      <w:pPr>
        <w:pStyle w:val="FootnoteText"/>
      </w:pPr>
      <w:r>
        <w:rPr>
          <w:rStyle w:val="FootnoteReference"/>
        </w:rPr>
        <w:footnoteRef/>
      </w:r>
      <w:r>
        <w:t xml:space="preserve"> Maybe “assembler” or “part of the assembly”</w:t>
      </w:r>
    </w:p>
  </w:footnote>
  <w:footnote w:id="2">
    <w:p w:rsidR="000D1908" w:rsidRDefault="000D1908">
      <w:pPr>
        <w:pStyle w:val="FootnoteText"/>
      </w:pPr>
      <w:r>
        <w:rPr>
          <w:rStyle w:val="FootnoteReference"/>
        </w:rPr>
        <w:footnoteRef/>
      </w:r>
      <w:r>
        <w:t xml:space="preserve"> Authors of textbook think this is late Persian or early Hellenistic period (200s?)</w:t>
      </w:r>
    </w:p>
  </w:footnote>
  <w:footnote w:id="3">
    <w:p w:rsidR="00FD33DA" w:rsidRDefault="00FD33DA">
      <w:pPr>
        <w:pStyle w:val="FootnoteText"/>
      </w:pPr>
      <w:r>
        <w:rPr>
          <w:rStyle w:val="FootnoteReference"/>
        </w:rPr>
        <w:footnoteRef/>
      </w:r>
      <w:r>
        <w:t xml:space="preserve"> Diminutive form, according to Alter, who uses “merest breath.”</w:t>
      </w:r>
    </w:p>
  </w:footnote>
  <w:footnote w:id="4">
    <w:p w:rsidR="000D1908" w:rsidRDefault="000D1908">
      <w:pPr>
        <w:pStyle w:val="FootnoteText"/>
      </w:pPr>
      <w:r>
        <w:rPr>
          <w:rStyle w:val="FootnoteReference"/>
        </w:rPr>
        <w:footnoteRef/>
      </w:r>
      <w:r>
        <w:t xml:space="preserve"> Adam or “of clay”</w:t>
      </w:r>
    </w:p>
  </w:footnote>
  <w:footnote w:id="5">
    <w:p w:rsidR="000D1908" w:rsidRDefault="000D190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Shemesh</w:t>
      </w:r>
      <w:proofErr w:type="spellEnd"/>
      <w:r>
        <w:t xml:space="preserve"> [Persian sun god]</w:t>
      </w:r>
    </w:p>
  </w:footnote>
  <w:footnote w:id="6">
    <w:p w:rsidR="000D1908" w:rsidRDefault="000D190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shoob</w:t>
      </w:r>
      <w:proofErr w:type="spellEnd"/>
      <w:r>
        <w:t xml:space="preserve"> </w:t>
      </w:r>
      <w:proofErr w:type="spellStart"/>
      <w:r>
        <w:t>sabeeb</w:t>
      </w:r>
      <w:proofErr w:type="spellEnd"/>
    </w:p>
  </w:footnote>
  <w:footnote w:id="7">
    <w:p w:rsidR="000D1908" w:rsidRDefault="000D1908">
      <w:pPr>
        <w:pStyle w:val="FootnoteText"/>
      </w:pPr>
      <w:r>
        <w:rPr>
          <w:rStyle w:val="FootnoteReference"/>
        </w:rPr>
        <w:footnoteRef/>
      </w:r>
      <w:r>
        <w:t xml:space="preserve"> Yam</w:t>
      </w:r>
    </w:p>
  </w:footnote>
  <w:footnote w:id="8">
    <w:p w:rsidR="000D1908" w:rsidRDefault="000D1908">
      <w:pPr>
        <w:pStyle w:val="FootnoteText"/>
      </w:pPr>
      <w:r>
        <w:rPr>
          <w:rStyle w:val="FootnoteReference"/>
        </w:rPr>
        <w:footnoteRef/>
      </w:r>
      <w:r>
        <w:t xml:space="preserve"> Not vexation, but “grazing wind”</w:t>
      </w:r>
    </w:p>
  </w:footnote>
  <w:footnote w:id="9">
    <w:p w:rsidR="005B1048" w:rsidRDefault="005B10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Leb</w:t>
      </w:r>
      <w:proofErr w:type="spellEnd"/>
      <w:r>
        <w:t xml:space="preserve"> [desires, soul, inner self]</w:t>
      </w:r>
    </w:p>
  </w:footnote>
  <w:footnote w:id="10">
    <w:p w:rsidR="000D1908" w:rsidRDefault="000D190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Howlelah</w:t>
      </w:r>
      <w:proofErr w:type="spellEnd"/>
      <w:r>
        <w:t>!</w:t>
      </w:r>
    </w:p>
  </w:footnote>
  <w:footnote w:id="11">
    <w:p w:rsidR="00F71AE0" w:rsidRDefault="00F71AE0">
      <w:pPr>
        <w:pStyle w:val="FootnoteText"/>
      </w:pPr>
      <w:r>
        <w:rPr>
          <w:rStyle w:val="FootnoteReference"/>
        </w:rPr>
        <w:footnoteRef/>
      </w:r>
      <w:r>
        <w:t xml:space="preserve"> Evokes the creation 1:4</w:t>
      </w:r>
    </w:p>
  </w:footnote>
  <w:footnote w:id="12">
    <w:p w:rsidR="00B87302" w:rsidRDefault="00B87302">
      <w:pPr>
        <w:pStyle w:val="FootnoteText"/>
      </w:pPr>
      <w:r>
        <w:rPr>
          <w:rStyle w:val="FootnoteReference"/>
        </w:rPr>
        <w:footnoteRef/>
      </w:r>
      <w:r>
        <w:t xml:space="preserve"> Probably an editorial addition, since judgment and last judgments weren’t a thing at this time. </w:t>
      </w:r>
    </w:p>
  </w:footnote>
  <w:footnote w:id="13">
    <w:p w:rsidR="003030F4" w:rsidRDefault="003030F4">
      <w:pPr>
        <w:pStyle w:val="FootnoteText"/>
      </w:pPr>
      <w:r>
        <w:rPr>
          <w:rStyle w:val="FootnoteReference"/>
        </w:rPr>
        <w:footnoteRef/>
      </w:r>
      <w:r>
        <w:t xml:space="preserve"> Usually translated “evil”</w:t>
      </w:r>
    </w:p>
  </w:footnote>
  <w:footnote w:id="14">
    <w:p w:rsidR="00C272D3" w:rsidRDefault="00C272D3">
      <w:pPr>
        <w:pStyle w:val="FootnoteText"/>
      </w:pPr>
      <w:r>
        <w:rPr>
          <w:rStyle w:val="FootnoteReference"/>
        </w:rPr>
        <w:footnoteRef/>
      </w:r>
      <w:r>
        <w:t xml:space="preserve"> Molars. This could also mean women servants who grind grain. The “house” in the previous line becomes both a face with eyes and teeth and also a decaying home, so it’</w:t>
      </w:r>
      <w:r w:rsidR="008C78B7">
        <w:t xml:space="preserve">s doing double duty. The locust may refer to gray hair. </w:t>
      </w:r>
      <w:r w:rsidR="0043491F">
        <w:t xml:space="preserve">(Youth can </w:t>
      </w:r>
      <w:r w:rsidR="008C78B7">
        <w:t>mean “the time of black hair.”)</w:t>
      </w:r>
    </w:p>
  </w:footnote>
  <w:footnote w:id="15">
    <w:p w:rsidR="009B5C3F" w:rsidRDefault="009B5C3F">
      <w:pPr>
        <w:pStyle w:val="FootnoteText"/>
      </w:pPr>
      <w:r>
        <w:rPr>
          <w:rStyle w:val="FootnoteReference"/>
        </w:rPr>
        <w:footnoteRef/>
      </w:r>
      <w:r>
        <w:t xml:space="preserve"> Presumably most of the teeth have fallen out. </w:t>
      </w:r>
    </w:p>
  </w:footnote>
  <w:footnote w:id="16">
    <w:p w:rsidR="009B5C3F" w:rsidRDefault="009B5C3F">
      <w:pPr>
        <w:pStyle w:val="FootnoteText"/>
      </w:pPr>
      <w:r>
        <w:rPr>
          <w:rStyle w:val="FootnoteReference"/>
        </w:rPr>
        <w:footnoteRef/>
      </w:r>
      <w:r>
        <w:t xml:space="preserve"> Eyes lose their sight</w:t>
      </w:r>
    </w:p>
  </w:footnote>
  <w:footnote w:id="17">
    <w:p w:rsidR="004E0DF8" w:rsidRDefault="004E0DF8">
      <w:pPr>
        <w:pStyle w:val="FootnoteText"/>
      </w:pPr>
      <w:r>
        <w:rPr>
          <w:rStyle w:val="FootnoteReference"/>
        </w:rPr>
        <w:footnoteRef/>
      </w:r>
      <w:r>
        <w:t xml:space="preserve"> I wonder if this refers to female mourners, whose office it was to grieve publicly for the dead and on sad occasions.  </w:t>
      </w:r>
    </w:p>
  </w:footnote>
  <w:footnote w:id="18">
    <w:p w:rsidR="00B90FEA" w:rsidRDefault="00B90FEA">
      <w:pPr>
        <w:pStyle w:val="FootnoteText"/>
      </w:pPr>
      <w:r>
        <w:rPr>
          <w:rStyle w:val="FootnoteReference"/>
        </w:rPr>
        <w:footnoteRef/>
      </w:r>
      <w:r>
        <w:t xml:space="preserve"> Tree or insect is unclear</w:t>
      </w:r>
      <w:r w:rsidR="00A21733">
        <w:t>, but the context of almond blossoms and caper fruit makes me think tree</w:t>
      </w:r>
      <w:r>
        <w:t xml:space="preserve">. </w:t>
      </w:r>
    </w:p>
  </w:footnote>
  <w:footnote w:id="19">
    <w:p w:rsidR="00B90FEA" w:rsidRDefault="00B90FEA">
      <w:pPr>
        <w:pStyle w:val="FootnoteText"/>
      </w:pPr>
      <w:r>
        <w:rPr>
          <w:rStyle w:val="FootnoteReference"/>
        </w:rPr>
        <w:footnoteRef/>
      </w:r>
      <w:r>
        <w:t xml:space="preserve"> Alter, on whom I rely heavily, says this really means </w:t>
      </w:r>
      <w:proofErr w:type="spellStart"/>
      <w:r>
        <w:t>caperfruit</w:t>
      </w:r>
      <w:proofErr w:type="spellEnd"/>
      <w:r>
        <w:t xml:space="preserve">, so some read the withering caper fruit as a metaphor for male impotence. </w:t>
      </w:r>
    </w:p>
  </w:footnote>
  <w:footnote w:id="20">
    <w:p w:rsidR="00B90FEA" w:rsidRDefault="00B90FEA">
      <w:pPr>
        <w:pStyle w:val="FootnoteText"/>
      </w:pPr>
      <w:r>
        <w:rPr>
          <w:rStyle w:val="FootnoteReference"/>
        </w:rPr>
        <w:footnoteRef/>
      </w:r>
      <w:r>
        <w:t xml:space="preserve"> Alter thinks shards of pottery might have been buried with the dead. </w:t>
      </w:r>
    </w:p>
  </w:footnote>
  <w:footnote w:id="21">
    <w:p w:rsidR="009575F6" w:rsidRDefault="009575F6">
      <w:pPr>
        <w:pStyle w:val="FootnoteText"/>
      </w:pPr>
      <w:r>
        <w:rPr>
          <w:rStyle w:val="FootnoteReference"/>
        </w:rPr>
        <w:footnoteRef/>
      </w:r>
      <w:r w:rsidR="00F806E2">
        <w:t xml:space="preserve"> Well (</w:t>
      </w:r>
      <w:proofErr w:type="spellStart"/>
      <w:r w:rsidR="00F806E2">
        <w:t>be</w:t>
      </w:r>
      <w:r>
        <w:t>r</w:t>
      </w:r>
      <w:proofErr w:type="spellEnd"/>
      <w:r>
        <w:t>) and Pit (</w:t>
      </w:r>
      <w:proofErr w:type="spellStart"/>
      <w:r>
        <w:t>bor</w:t>
      </w:r>
      <w:proofErr w:type="spellEnd"/>
      <w:r>
        <w:t xml:space="preserve">) might have sounded alike, but they are in a sense opposites. Pits are where the dead are buried; The Pit was called </w:t>
      </w:r>
      <w:proofErr w:type="spellStart"/>
      <w:r>
        <w:t>Sheol</w:t>
      </w:r>
      <w:proofErr w:type="spellEnd"/>
      <w:r>
        <w:t xml:space="preserve">, and is often translated as “hell” in English. (The NT “hell” is </w:t>
      </w:r>
      <w:r w:rsidR="004E0DF8">
        <w:t>“</w:t>
      </w:r>
      <w:proofErr w:type="spellStart"/>
      <w:r w:rsidR="004E0DF8">
        <w:t>Gehenna</w:t>
      </w:r>
      <w:proofErr w:type="spellEnd"/>
      <w:r w:rsidR="004E0DF8">
        <w:t xml:space="preserve">” or “Valley of </w:t>
      </w:r>
      <w:proofErr w:type="spellStart"/>
      <w:r w:rsidR="004E0DF8">
        <w:t>Hinnon</w:t>
      </w:r>
      <w:proofErr w:type="spellEnd"/>
      <w:r w:rsidR="004E0DF8">
        <w:t>,” where garbage was burned outside of Jerusalem.) On the other hand, w</w:t>
      </w:r>
      <w:r w:rsidR="00F806E2">
        <w:t>ells were</w:t>
      </w:r>
      <w:r>
        <w:t xml:space="preserve"> sacred sites of encounter with God because of their life-giving properties, and Sukkot, when Ecclesiastes </w:t>
      </w:r>
      <w:r w:rsidR="004E0DF8">
        <w:t>i</w:t>
      </w:r>
      <w:r>
        <w:t>s performed, is a holiday when God is supposed to reveal how much rain will come in the winter months. It</w:t>
      </w:r>
      <w:r w:rsidR="004E0DF8">
        <w:t xml:space="preserve"> is a little like the American G</w:t>
      </w:r>
      <w:r>
        <w:t xml:space="preserve">roundhog </w:t>
      </w:r>
      <w:r w:rsidR="004E0DF8">
        <w:t>D</w:t>
      </w:r>
      <w:r>
        <w:t xml:space="preserve">ay holiday, in that the groundhog is supposed to know how long winter will last. </w:t>
      </w:r>
      <w:r w:rsidR="00A21733">
        <w:t xml:space="preserve">On </w:t>
      </w:r>
      <w:r w:rsidR="00A21733" w:rsidRPr="00A21733">
        <w:rPr>
          <w:i/>
        </w:rPr>
        <w:t>Northern Exposure</w:t>
      </w:r>
      <w:r w:rsidR="00A21733">
        <w:t xml:space="preserve">, there was an annual tradition of trying to predict who would die over the winter (holes had to be dug before the ground froze). </w:t>
      </w:r>
    </w:p>
  </w:footnote>
  <w:footnote w:id="22">
    <w:p w:rsidR="008C78B7" w:rsidRDefault="008C78B7">
      <w:pPr>
        <w:pStyle w:val="FootnoteText"/>
      </w:pPr>
      <w:r>
        <w:rPr>
          <w:rStyle w:val="FootnoteReference"/>
        </w:rPr>
        <w:footnoteRef/>
      </w:r>
      <w:r>
        <w:t xml:space="preserve"> Ha Elohim can mean the god or the gods. Ha (the) is empha</w:t>
      </w:r>
      <w:r w:rsidR="00F806E2">
        <w:t>tic in a title, as in Ha Satan (</w:t>
      </w:r>
      <w:r>
        <w:t>The Satan or The Advers</w:t>
      </w:r>
      <w:r w:rsidR="00F806E2">
        <w:t>ary)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60"/>
    <w:rsid w:val="00035A3C"/>
    <w:rsid w:val="000838DD"/>
    <w:rsid w:val="000D1908"/>
    <w:rsid w:val="00111443"/>
    <w:rsid w:val="00121294"/>
    <w:rsid w:val="002D0AE6"/>
    <w:rsid w:val="003030F4"/>
    <w:rsid w:val="0043491F"/>
    <w:rsid w:val="004755CD"/>
    <w:rsid w:val="004E0DF8"/>
    <w:rsid w:val="005071ED"/>
    <w:rsid w:val="00593940"/>
    <w:rsid w:val="005944AB"/>
    <w:rsid w:val="005B1048"/>
    <w:rsid w:val="007B1892"/>
    <w:rsid w:val="007E7EC9"/>
    <w:rsid w:val="008C78B7"/>
    <w:rsid w:val="009575F6"/>
    <w:rsid w:val="009B5C3F"/>
    <w:rsid w:val="009D6149"/>
    <w:rsid w:val="00A21733"/>
    <w:rsid w:val="00B87302"/>
    <w:rsid w:val="00B90FEA"/>
    <w:rsid w:val="00C272D3"/>
    <w:rsid w:val="00C34150"/>
    <w:rsid w:val="00CB5031"/>
    <w:rsid w:val="00D05260"/>
    <w:rsid w:val="00D1581C"/>
    <w:rsid w:val="00EB44FE"/>
    <w:rsid w:val="00F71AE0"/>
    <w:rsid w:val="00F806E2"/>
    <w:rsid w:val="00F87144"/>
    <w:rsid w:val="00FD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7EE02"/>
  <w15:chartTrackingRefBased/>
  <w15:docId w15:val="{3E889185-1323-498E-A918-B2BBC356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D19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9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19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E99B4-D412-4533-9864-E56C03A8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6840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Carolina University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Adams</dc:creator>
  <cp:keywords/>
  <dc:description/>
  <cp:lastModifiedBy>Mary Adams</cp:lastModifiedBy>
  <cp:revision>6</cp:revision>
  <dcterms:created xsi:type="dcterms:W3CDTF">2019-09-12T17:02:00Z</dcterms:created>
  <dcterms:modified xsi:type="dcterms:W3CDTF">2019-12-15T19:37:00Z</dcterms:modified>
</cp:coreProperties>
</file>